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Аскеровой Луизы Седретдиновны в Арбитражный суд Тюменской области обратился кредитор Богданов Ярослав Алексеевич (на основании договора цессии от 31.07.2017 № 1) с заявлением, уточненным в порядке статьи 49 Арбитражного процессуального кодекса Российской Федерации, о включении в реестр требований кредиторов должника требования в размере 3 339 800 рублей основного долга и 24 899 рублей расходов по уплате государственной пошлины, а также ходатайством о неприменении к должнику правила об освобождении от дальнейшего исполнения обязательства перед кредитором. Определением Арбитражного суда Тюменской области от 08.11.2021 требование Богданова Я.А. признано обоснованным, включено в третью очередь реестра требований кредиторов в размере 3 339 800 рублей; к должнику не применено правило об освобождении от дальнейшего исполнения обязательств перед кредитором, вытекающих из договора займа от 30.08.2014 с обществом с ограниченной ответственностью «Автоламбард «УралАвто». 2 Постановлением Восьмого арбитражного апелляционного суда от 24.12.2021 определение суда первой инстанции оставлено без изменения. Арбитражный суд Западно-Сибирского округа постановлением от 03.03.2022 указанные судебные акты оставил без изменения. Аскерова Луиза Седретдиновна обратилась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ее от дальнейшего исполнения обязательств перед кредитором,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заявленное кредитором требование обоснованным и подлежащим включению в реестр требований кредиторов третьей очереди, суды руководствовались положениями статьи 69 Арбитражного процессуального кодекса Российской Федерации, статьями 16, 71, 100 Федерального закона от 26.10.2002 № 127-ФЗ «О несостоятельности (банкротстве)» и исходили из наличия вступившего в законную силу судебного акта, подтверждающего обоснованность заявленного требования. Руководствуясь положениями статьи 213.28 Федерального закона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суды, не освободив должника от дальнейшего исполнения обязательств перед кредитором, исходили из недобросовестного поведения должника, выразившегося в предоставлении, при получении кредита, недостоверных сведений относительно передаваемого в залог имущества. Доводы, изложенные в кассационной жалобе, с учетом установленных фактических обстоятельств спора, выводы судов не опровергают, не 3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Аскеровой Луизе Седретдиновне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