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10.08.2021, оставленным без изменения постановлением Девятого арбитражного апелляционного суда от 26.10.2021 и постановлением Арбитражного суда Московского округа от 17.02.2022, в удовлетворении заявленного требования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департамент с заявлением о выдаче разрешения на осуществление деятельности по перевозке пассажиров и багажа легковым такси на территории города Москвы. По результатам рассмотрения заявления департаментом вынесено решение об отказе в предоставлении государственной услуги в соответствии с пунктом 2.10 Административного регламента предоставления государственной услуги города Москвы «Выдача разрешения, переоформление разрешения, выдача дубликата разрешения и аннулирование разрешения на осуществление деятельности по перевозке пассажиров и багажа легковым такси на территории города Москвы», утвержденного постановлением Правительства Москвы от 28.06.2011 № 278-ПП «О мерах по реализации Федерального закона от 21 апреля 2011 г. № 69-ФЗ «О внесении изменений в отдельные законодательные акты Российской Федерации» (далее - Административный регламент). Считая отказ в предоставлении государственной услуги неправомерным, предприниматель обратился в арбитражный суд. Признавая решение департамента законным, суды трех инстанций, руководствуясь положениями статьи 9 Федерального закона от 21.04.2011 № 69-ФЗ «О внесении изменений в отдельные законодательные акты Российской Федерации», Административным регламентом, статьей 2.1 Закона города Москвы от 11.06.2008 № 22 «О легковом такси в городе Москве», пришли к выводу о наличии у департамента правовых оснований для отказа в предоставлении государственной услуги ввиду представления предпринимателем недостоверных сведений относительно цветовой гаммы кузова транспортного средства, которое предполагается использовать для оказания услуг по перевозке пассажиров и багажа легковым такси. Ссылка предпринимателя на судебные акты по иным делам подлежит отклонению, поскольку они приняты по обстоятельствам, не являющимся тождественными настоящему делу. Довод о достоверности заявленного адреса регистрации предпринимателя на дату обращения за получением государственной услуги рассмотрен судом округа и признан обоснованным, однако с учетом установленных фактических обстоятельств настоящего дела не свидетельствует о принятии неправильных судебных актов по существу спора. Приведенные заявителем доводы получили надлежащую правовую оценку судов, существенных нарушений норм материального и процессуального права, повлиявших на исход дела, судами не допущено. Переоценка доказательств и установленных судами фактических обстоятельств спора в силу статьи 2916 Арбитражного процессуального кодекса Российской Федерации не входит в полномочия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Департамент транспорта и развития дорожно-транспортной инфраструктуры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