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24.06.2021 исковое требование удовлетворено. Постановлением Девятнадцатого арбитражного апелляционного суда от 12.10.2021 решение суда первой инстанции отменено, в удовлетворении иска отказано. Постановлением Арбитражного суда Центрального округа от 04.03.2022 постановление суда апелляционной инстанции отменено и оставлено в силе решение суда первой инстанции. В кассационной жалобе, поданной в Верховный Суд Российской Федерации, общество просит отменить судебные акты судов первой инстанции и округа, ссылаясь на существенное нарушение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департаментом строительства и транспорта Белгородской области, от имени которого действует учреждение (заказчик), и обществом (подрядчик) заключен государственный контракт на выполнение строительно-монтажных и пусконаладочных работ по строительству объекта (далее – контракт). Исковое требование мотивировано оплатой учреждением в рамках контракта работ по возведению и демонтажу временного забора из профнастила оцинкованного на сумму 1 416 312 рублей, фактически невыполненных подрядчиком. Рассматривая спор, суд первой инстанции, руководствуясь положениями статей 309 , 310 , 702 , 711 , 720 , 721 , 740 , 1102 Гражданского кодекса Российской Федерации, разъяснениями, изложенными в пунктах 12, 13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пришел к выводу о доказанности учреждением возникновения на стороне общества неосновательного обогащения. Суд исходил из того, что по условиям пункта 4.5 контракта стоимость работ по возведению временных сооружений отнесена на подрядчика, при этом работы по возведению и демонтажу временного забора из профнастила оцинкованного фактически не выполнялись, что обществом не опровергнуто. Суд округа поддержал выводы суда первой инстанции как основанные на исследовании и оценке всех представленных в материалы дела доказательств в их совокупности и взаимной связи при установлении всех обстоятельств, имеющих существенное значение для дела. Вместе с тем суд кассационной инстанции указал на нарушение судом апелляционной инстанции правил доказывания и оценки доказательств. Доводы, изложенные в кассационной жалобе, не опровергают выводы судов первой инстанции и округа, не свидетельствуют о нарушении норм материального и процессуального права, повлиявших на исход дела, направлены на переоценку доказательств по делу и оспаривание выводов судов по фактическим обстоятельствам спора,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«Строительно-монтажное управление ЖБК-1»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ОГБУ "Управление капитального строительства Белгородской области" (подробнее) Ответчики: ООО "СМУ ЖБК-1" (подробнее) Судьи дела: Антонова М.К.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