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22.04.2021, оставленным без изменения постановлением Первого арбитражного апелляционного суда от 31.08.2021 и постановлением Арбитражного суда Волго-Вятского округа от 18.02.2022, с общества в пользу завода взыскано 7 555 896 руб. долга, возникшего с 01.03.2017 по 28.02.2020 по договору от 19.10.2015,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права, 2 просит отменить указанные судебные акты и оставить исковое заявление без рассмотрения.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Удовлетворяя исковые требования, суды первой и апелляционной инстанций,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606, 610, 614, 621, 622, 655 Гражданского кодекса Российской Федерации, исходили из подтвержденности факта передачи заводом имущества в аренду обществу, нарушения последним обязательств по своевременному внесению арендных платежей, а также отсутствия доказательств оплаты долга, возврата имущества в спорный период либо уклонения завода от его приемки. Суд округа поддержал выводы судов первой и апелляционной инстанций. Доводы заявителя о том, что исковое заявление подлежало оставлению без рассмотрения, были предметом рассмотрения судов и получили правовую оценку.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«Гроумед»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