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«РегионКонсалт» (далее – общество) обратилось в суд с заявлением о включении его требования в реестр требований кредиторов должника. По результатам повторного рассмотрения обособленного спора Арбитражного суда Московской области 04.10.2019 вынес определение о включении требования общества в реестр требований кредиторов ФИО1 Постановлениями Десятого арбитражного апелляционного суда от 09.12.2019 и Арбитражного суда Московского округа от 02.03.2020 определение суда первой инстанции оставлено без изменения. В кассационной жалобе, поданной в Верховный Суд Российской Федерации, ФИО1 просит изменить мотивировочные части актов судов трех инстанций, исключив из них вывод о его недобросовестности.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Делая вывод о недобросовестности должника,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установили, что ФИО1 предпринял действия, направленные на воспрепятствование предъявлению к нему требований кредиторов в установленный Федеральным законом от 26.10.2002 № 127-ФЗ «О несостоятельности (банкротстве)» срок. С этим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дела.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Инспекция ФНС по г. Красногорску МО (подробнее) ООО "РегионКонсалт" (подробнее) Союз АУ "СРО СС" (подробнее) Иные лица: Ф/У Абрамишвили Ф.В. - Окунев Алексей Викторович (подробнее) Судьи дела: Разумов И.В.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