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09.07.2021 в удовлетворении иска отказано. Постановлением Седьмого арбитражного апелляционного суда от 14.09.2021 решение суда первой инстанции отменено, иск удовлетворен. Постановлением Арбитражного суда Западно-Сибирского округа от 03.02.2022 постановление суда апелляционной инстанции оставлено без изменения. В кассационной жалобе, поданной в Верховный Суд Российской Федерации, компания ссылается на неправильное применение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 и дополнительного соглашения к нему, руководствуясь статьями 421, 422, 431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договор», установив, что общество (региональный оператор) оказало компании в спорный период на условиях дополнительного соглашения к договору услуги по обращению с твердыми коммунальными отходами, последнее оказанные услуги в полном объеме не оплатило, признав обоснованным и арифметически верным размер начисленной обществом задолженности, суд апелляционной инстанции пришел к выводу о наличии оснований для удовлетворения иска. Суд округа поддержал выводы апелляционного суда. Доводы заявителя о нарушении судом правил подсудности подлежат отклонению применительно к разъяснениям, содержащимся в пункте 28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в отсутствие ссылок на то, что указанные доводы заявлялись в суде первой инстанции или не могли быть заявлены в связи с ненадлежащим извещением учреждения о времени и месте судебного заседания. Иные доводы кассационной жалобы были предметом рассмотрения судов апелляционной инстанции и округа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«Элемент-Трейд»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