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Сунь Фуцин обратился в суд с заявлением о включении в реестр требований участников строительства требования о передаче жилых помещений. Определением Арбитражного суда Республики Бурятия от 30.07.2021, оставленным без изменения постановлениями Четвёртого арбитражного апелляционного суда от 28.10.2021 и Арбитражного суда Восточно-Сибирского округа от 10.02.2022,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69 Арбитражного процессуального кодекса Российской Федерации, статей 201.1 и 201.6 Федерального закона от 26.10.2002 № 127-ФЗ «О несостоятельности (банкротстве)», пришли к выводу об отсутствии причин для удовлетворения требований по заявленным основаниям ввиду недоказанности внесения заявителем денежных средств в качестве оплаты за приобретаемые жилые помещения.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Сунь Фуцин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