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включении в реестр требований кредиторов должника (далее – реестр) требования в размере 10 987 314 302 рубля 63 копейки. Определением Арбитражного суда города Санкт-Петербурга и Ленинградской области от 13.12.2018 требование банка в размере 3 482 680 662 рубля признано обоснованным и подлежащим включению в третью очередь реестра как обеспеченное залогом имущества должника. Впоследствии Сабадаш Александр Витальевич обратился в суд с апелляционной жалобой на определение от 13.12.2018 в части включения требования Банка в реестр на сумму 3 482 680 662 рубля, заявив ходатайство о восстановлении пропущенного процессуального срока. Определением Тринадцатого арбитражного апелляционного суда от 10.12.2021 отказано в удовлетворении ходатайства о восстановлении пропущенного срока, жалоба возвращена. Постановлением Арбитражного суда Северо-Западного округа от 25.03.2022 отменено определение апелляционного суда от 10.12.2021, вопрос о принятии жалобы Сабадаша А.В. направлен на новое рассмотрение в Тринадцатый арбитражный апелляционный суд. 2 В кассационной жалобе, поданной в Верховный Суд Российской Федерации, заявитель просит отменить указанное постановление суда округа от 25.03.2022, оставить в силе определение апелляционного суда от 10.12.2021.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апелляционного суда, суд округа, руководствуясь положениями статей 117 и 259 Арбитражного процессуального кодекса Российской Федерации, статьи 61.15 Федерального закона от 26.10.2002 № 127-ФЗ «О несостоятельности (банкротстве)», позицией, изложенной в постановлении от 16.11.2021 № 49-П «По делу о проверке конституционности статьи 42 Арбитражного процессуального кодекса Российской Федерации и статьи 34 Федерального закона «О несостоятельности (банкротстве)» в связи с жалобой гражданина Н.Е. Акимова», признал ошибочность выводов об отсутствии оснований для восстановления пропущенного процессуального срока и преждевременности отказа в удовлетворении ходатайства о его восстановлении.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«Таврический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