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31.05.2022–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2 276, 291.2, 308.1 и 312 АПК РФ предельные допустимые сроки для восстановления. Последним обжалуемым судебным актом в рамках обособленного спора по делу № А40-95953/2019 является постановление Арбитражного суда Московского округа от 30.03.2022, вступившее в законную силу, согласно части 5 статьи 289 АПК РФ, со дня его принятия – 30.03.2022, следовательно, двухмесячный срок на подачу кассационной жалобы истек 30.05.2022. Одновременно с подачей жалобы Буруновым Э.Ф. заявлено ходатайство о восстановлении пропущенного процессуального срока. В качестве причины пропуска срока указана публикация судебного акта (постановления) на следующий день 31.03.2022.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Бурунову Эдуарду Федоровичу в удовлетворении ходатайства о восстановлении пропущенного процессуального срока подачи кассационной жалобы на определение Девятого арбитражного апелляционного суда от 01.02.2022 и постановление Арбитражного суда Московского округа от 30.03.2022 по делу № А40-95953/2019 Арбитражного суда города Москвы. Жалобу Бурунова Эдуарда Федоровича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