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27.08.2021 заявленное требование удовлетворено. 2 Постановлением Десятого арбитражного апелляционного суда от 01.11.2021 решение суда первой инстанции отменено, в удовлетворении заявленного требования отказано. Постановлением Арбитражного суда Московского округа от 02.03.2022 постановление суда апелляционной инстанции оставлено без изменения. Общество просит постановления судов апелляционной и кассационной инстанций отменить, считая их незаконными и необоснованными, оставить в силе решение суда первой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выявленные административным органом факты, свидетельствующие, что в проектных декларациях общества по двум объектам строительства содержится неполная и недостоверная информация. Частью 2 статьи 14.28 Кодекса Российской Федерации об административных правонарушениях установлена ответственность за опубликование в средствах массовой информации и (или) размещение в информационно-телекоммуникационных сетях общего пользования застройщиком проектной декларации (в том числе вносимых в нее изменений), содержащей неполную и (или) недостоверную информацию, предоставление 3 застройщиком неполной и (или) недостоверной информации, опубликование, размещение или предоставление которой предусмотрено законодательством об участии в долевом строительстве многоквартирных домов и (или) иных объектов недвижимости, а равно нарушение сроков опубликования и (или) размещения проектной декларации либо вносимых в нее изменений. Руководствуясь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 апелляционной инстанции отменил решение суда первой инстанции, пришел к выводу о наличии в действиях общества составов двух правонарушений, ответственность за которые предусмотрена частью 2 статьи 14.28 Кодекса Российской Федерации об административных правонарушениях, установив факты предоставления застройщиком неполной и (или) недостоверной информации в отношении двух объектов строительства. Суд округа согласился с выводами суда апелляционной инстанции. Доказательств, свидетельствующих о том, что общество своевременно приняло все зависящие от него меры по соблюдению требований действующего законодательства, не представлено. Суды апелляционной и кассационной инстанций признали процедуру и срок давности привлечения к административной соблюденными. Штраф назначен в минимальном размере санкции нормы. Доводы жалобы относительно повторного привлечения общества к административной ответственности были предметом исследования судов и отклонены исходя из установленных обстоятельств, свидетельствующих, что обществом допущено несколько самостоятельных правонарушений, в том числе, с учетом объективной стороны составов правонарушений. Нарушения прав и законных интересов общества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4 выявлено в отсутствие доказательств того, что правонарушения выявлены при проведении одного контрольного (надзорного) мероприятия в ходе осуществления государственного контроля (надзора), муниципального контроля.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