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судом принят отказ общества от требований в части признания незаконными акта проверки, определением Арбитражного суда Липецкой области от 24.02.2021 производство по делу в указанной части прекращено. Решением Арбитражного суда Липецкой области от 24.02.2021, оставленным без изменения постановлением Девятнадцатого арбитражного апелляционного суда от 19.01.2022, в удовлетворении требований отказано. Постановлением Арбитражного суда Центрального округа от 07.04.2022 указанные судебные акты оставлены без изменения. Общество просит обжалуемые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Частью 1 статьи 20.8 Кодекса Российской Федерации об административных правонарушениях предусмотрена административная ответственность за нарушение правил производства, продажи, хранения, уничтожения или учета оружия и патронов к нему, взрывчатых веществ и взрывных устройств, пиротехнических изделий IV и V классов, если эти действия не содержат уголовно наказуемого деяния. Оценив представленные доказательства и установив, что обществом нарушены требования пунктов 147, 151, 157, 163, 168, 176, подпунктов «а», «г», «д», «е» пункта 127, подпункта «а» пункта 133, абз. 3 пункта 169.1 Инструкции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Федерации, утвержденной приказом МВД России от 12.04.1999 № 288, суды пришли к выводу о законности оспариваемого предписания и наличии в действиях общества состава административного правонарушения, ответственность за совершение которого предусмотрена частью 1 статьи 20.8 Кодекса Российской Федерации об административных правонарушениях, 3 установив факты нарушения обществом обязательных требований законодательства РФ в области оборота и учета оружия и патронов. Доказательств, свидетельствующих о принятии обществом всех зависящих от него мер для соблюдения законодательства об оружии не представлено. Штраф назначении в пределах санкции нормы. Доводы общества о незаконном привлечении его к административной ответственности со ссылкой на нарушение административным органом при проведении проверки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отклонены судами, поскольку в рассматриваемом случае такая проверка не проводилась; основанием для проведения проверки обеспечения условий хранения (сохранности) оружия на основании Федерального закона от 13.12.1996 № 150-ФЗ «Об оружии» и вынесения оспариваемого постановления послужили выявленные при проведении проверки сведений, изложенных в документах, оформленных при осуществлении обществом оборота оружия и патронов, нарушения. Иные доводы жалобы направлены на переоценку доказательств и установление иных фактических обстоятельств дела, что не отнесено к полномочиям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