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03.11.2020, оставленным без изменения постановлением Девятого арбитражного апелляционного суда от 20.01.2021, заявление удовлетворено. 2 Постановлением Арбитражного суда Московского округа от 07.05.2021 судебные акты отменены, дело направлено на новое рассмотрение в суд первой инстанции. При новом рассмотрении решением Арбитражного суда города Москвы от 22.09.2021, оставленным без изменения постановлением Девятого арбитражного апелляционного суда от 02.12.2021, в удовлетворении заявления отказано. Арбитражный суд Московского округа постановлением от 09.03.2022 указанные судебные акты оставлены без изменения. Общество обратилось в Верховный Суд Российской Федерации с кассационной жалобой на состоявшиеся по делу судебные акты, указывая на нарушения судами норм материального и процессуального права.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Федерального закона от 26.07.2006 № 135-ФЗ «О защите конкуренции», суды пришли к выводу о доказанности антимонопольным органом факта заключения обществом недопустимого картельного соглашения, направленного на 3 поддержание цены на торгах, установили в действиях общества наличие состава правонарушения, ответственность за совершение которого предусмотрена частью 2 статьи 14.32 КоАП РФ. Нарушений процедуры привлечения к административной ответственности не установлено, срок давности привлечения к административной ответственности соблюден. Доводы общества являлись предметом рассмотрения судов и получили надлежащую правовую оценку применительно к установленным обстоятельствам соблюдения процедуры привлечения к административной ответственности и срока давности привлечения к ответственности.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Вопреки доводам жалобы отмена судом кассационной инстанции по кассационной жалобе административного органа решения суда первой инстанции и постановления суда апелляционной инстанции о признании незаконным постановления, которым общество уже привлечено к ответственности по части 2 статьи 14.32 КоАП РФ, и направление дела на новое рассмотрение, при котором новым решением оспариваемое постановление признано законным, не может рассматриваться как ухудшение положения лица, привлеченного к ответственности. Иное дезавуировало бы волю законодателя, предоставившего право административному органу обжаловать судебный акт, которым его постановление было полностью или частично признано незаконным. 4 Доводы заявителя об ухудшении его положения судом кассационной инстанции противоречат правовой позиции Конституционного Суда Российской Федерации, изложенной в определении от 17.05.2022 № 1134-О.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