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Забайкальского края от 18.08.2021, оставленным без изменения постановлением Четвертого арбитражного апелляционного суда от 10.11.2021, исковые требования удовлетворены частично: с администрации в пользу общества взыскано 2 513 766 рублей 2 17 копеек основного долга, 28 496 рублей 96 копеек судебных издержек на оплату экспертизы. В остальной части иска отказано. Постановлением Арбитражного суда Восточно-Сибирского округа от 11.03.2022 указанные судебные акты оставлены без изменения. Администрация в кассационной жалобе просит отменить принятые по делу судебные акты, ссылаясь на нарушение норм материального и процессуального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Руководствуясь положениями статей 309, 310, 709, 711, 720, 721, 740, 753 Гражданского кодекса Российской Федерации, приняв во внимание выводы судебной экспертизы, установив факт выполнения обществом работ на сумму 2 513 766 рублей 17 копеек, а также неисполнения заказчиком обязательств по оплате выполненных работ, суды пришли к выводу о частичном удовлетворении исковых требований. Обжалуя судебные акты в Верховный Суд Российской Федерации, администрация приводит доводы о несогласии с выводами судебной экспертизы, которые являлись предметом рассмотрения судов и получили 3 надлежащую правовую оценку применительно к установленным обстоятельствам, свидетельствующим о предупреждении эксперта об уголовной ответственности по статье 307 Уголовного кодекса Российской Федерации за дачу заведомо ложного заключения, подтверждении квалификации эксперта, соответствии заключения эксперта предъявляемым к нему требованиям, однозначности ответов эксперта. Кроме того, администрация о проведении повторной или дополнительной экспертизы ходатайств не заявляла; доказательств, достоверно опровергающих выводы, изложенные в экспертном заключении, не представила. Доводы заявителя не свидетельствуют о наличии оснований для отмены в кассационном порядке обжалуемых судебных актов, поскольку фактически сводятся к несогласию с выводами судов по обстоятельствам дела. Существенные нарушения норм материального и процессуального права, которые могли повлиять на исход дела и являться достаточным основанием для пересмотра обжалуемых судебных актов в кассационном порядке, отсутствуют.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