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04.09.2021, оставленным без изменения постановлением Третьего арбитражного апелляционного суда от 18.11.2021 и постановлением Арбитражного суда Восточно-Сибирского округа от 25.02.2022, в удовлетворении заявления отказано. В кассационной жалобе Мизевич А.В. просит об отмене судебных актов, указывая, что о пропуске срока исковой давности заявлено ненадлежащим лицом, ненадлежащую оценку судом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на момент обращения в арбитражный суд срок исковой давности по заявленному требованию истек, суды, руководствуясь статьей 181, 199 Гражданского кодекса Российской Федерации, отказали в удовлетворении иска, указав при этом и мотивы, в связи с которыми требование не подлежит удовлетворению по существу.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Мизевичу Антону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