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подана должником (согласно оттиску почтового штемпеля на конверте) 26.05.2022, то есть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2 276, 291.2, 308.1 и 312 АПК РФ предельные допустимые сроки для восстановления. Последним обжалуемым судебным актом по делу № А40-109017/2021 является постановление Арбитражного суда Московского округа от 09.03.2022, вступившее в законную силу, согласно части 5 статьи 289 АПК РФ, со дня его принятия – 09.03.2022, следовательно, двухмесячный срок на подачу кассационной жалобы истек 11.05.2022 (с учетом праздничных и выходных дней). Одновременно с подачей жалобы Прокофьевой Н.А. заявлено ходатайство о восстановлении пропущенного процессуального срока. В качестве причины пропуска срока указано направление кассационной жалобы в Верховный Суд Российской Федерации через Арбитражный суд города Москвы и ее возврат судом. Между тем, указанное обстоятельство не является уважительной причиной пропуска срока, установленного статьей 291.2 АПК РФ, поскольку ненадлежащая подача кассационной жалобы с нарушением требований части 1 статьи 291.3 АПК РФ не свидетельствует об уважительности причины пропуска срока и не может продлевать процессуальный срок. Надлежащее оформление кассационной жалобы и ее своевременная подача с учетом требований статьи 291.3 АПК РФ зависят исключительно от самого заявителя. Иных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Прокофьевой Наталье Александровне в удовлетворении ходатайства о восстановлении пропущенного процессуального срока подачи кассационной жалобы на постановление Девятого арбитражного апелляционного суда от 07.12.2021 и постановление Арбитражного суда Московского округа от 09.03.2022 по делу № А40-109017/2021 Арбитражного суда города Москвы. Жалобу Прокофьевой Натальи Александровны возвратить без рассмотрения по существу.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