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31.05.2021, оставленным без изменения постановлением Девятого арбитражного апелляционного суда от 21.07.2021 и постановлением Арбитражного суда Московского округа от 06.12.2021, заявление удовлетворено. В кассационной жалобе Перегудов И.В. просит об отмене судебных актов в части восстановления права требования Перельштейна А.И. к компании и разъяснении в мотивировочной части порядка реализации прав Перельштейном А.И., указывая на то, что примененные последствия влекут выбытие из конкурсной массы должника требования к компании и причиняют вред кредиторам должника.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условия для признания соглашений недействительными в силу пункта 1 статьи 61.2 Федерального закона от 26.10.2002 № 127-ФЗ «О несостоятельности (банкротстве)» (далее – Закон). Последствия признания сделки недействительной установлены статьей 61.6 Закона, в частности, – недействительной на основании пункта 1 статьи 61.2 – пунктом 3 статьи 61.6 Закона, поэтому не требуют разъяснения суда. Довод об отсутствии вводов судов в отношении имущественной ценности требования к компании опровергается признанием соглашения об уступке этого требования недействительным по такому мотиву, судебные акты в отношении которого не оспариваются управляющим.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Перегудову Илье Валерьевичу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