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Степанова Андрея Николаевича финансовый управляющий Чистиков Семен Юрьевич обратился в Арбитражный суд Костромской области с ходатайством о завершении процедуры реализации имущества гражданина. Определением Арбитражного суда Костромской области от 06.09.2021 процедура реализации имущества должника завершена, к должнику не применено правило об освобождении от дальнейшего исполнения обязательств перед кредиторами. Постановлением Второго арбитражного апелляционного суда от 18.11.2021 определение суда первой инстанции оставлено без изменения. Арбитражный суд Волго-Вятского округа постановлением от 10.02.2022 указанные судебные акты оставил без изменения. Степанов Андрей Николаевич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2 дальнейшего исполнения обязательств перед кредиторами,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кредитором, предусмотренных абзацем четвертым пункта 4 статьи 213.28 Федерального закона «О несостоятельности (банкротстве)». В частности, судами установлено, что возникновение непогашенных обязательств должника связано с компенсацией материального ущерба, причиненного потерпевшим (кредиторам) вследствие преступных действий должника, что исключает освобождение его от дальнейшего погашения спорных требований с использованием механизма процедуры банкротства. Доводы, изложенные в кассационной жалобе,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