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29.04.2021, оставленным без изменения постановлением Тринадцатого арбитражного апелляционного суда от 13.09.2021 и постановлением Арбитражного суда Северо-Западного округа от 10.02.2022, исковые требования удовлетворены. В кассационной жалобе, поданной в Верховный Суд Российской Федерации, завод,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Санкт-Петербурга и Ленинградской области.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для пересмотра обжалуемых судебных актов в кассационном порядке по доводам, изложенным заявителем жалобы, не установлено. Как следует из судебных актов, исковые требования общества (исполнитель) мотивированы неисполнением заводом (заказчик) обязанности по оплате стоимости выполненных работ по договору от 19.05.2015 № 424-34 (в редакции дополнительных соглашений) в соответствии с актом корректировки.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названного договора и дополнительных соглашений к нему, принимая во внимание наличие для завода потребительской ценности результата выполненных обществом работ, руководствуясь статьями 309, 310, 329, 330, 711, 720, 753, 758, 759, 762 Гражданского кодекса Российской Федерации, суды первой и апелляционной инстанций пришли к выводу об обязанности ответчика оплатить спорные работы по цене, определенной в соответствии с условиями дополнительного соглашения к договору и указанной в откорректированном акте, в связи с чем удовлетворили исковые требования. Суд округа поддержал выводы судов первой и апелляционной инстанций. Доводы заявителя о нарушении положений Федерального закона от 18.07.2011 № 223-ФЗ «О закупках товаров, работ, услуг отдельными видами юридических лиц», а также пропуске срока исковой давности были предметом рассмотрения судов и мотивированно отклонены. Доводы кассационной жалобы не опровергают выводы судов, направлены на переоценку обстоятельств,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«Судостроительный завод «Северная верфь»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