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31.05.2021, оставленным без изменения постановлением Одиннадцатого арбитражного апелляционного суда от 08.09.2021 и постановлением Арбитражного суда Поволжского округа от 16.12.2021, требование в сумме 1 664 000 рублей включено в четвертую очередь реестра, в остальной части в удовлетворении заявления отказано. В кассационной жалобе Маркелова Е.В. просит об отмене судебных актов, ссылаясь на необоснованную переквалификацию заявленного требования в денежное, игнорирование понесенных затрат на содержание спорного помещения, представленного акта экспертного исследования от 16.04.2021 № И037/03-2021 и факта заключения должником договора на проектно-изыскательские работы в целях составления проектной документации 2 на реконструкцию многоквартирного дома до 5 этажей для последующей легализации самовольно построенного им объекта.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Настоящее требование основано на договоре от 04.09.2017 о намерениях по купле-продаже квартиры № 16, расположенной на 4 (мансардном) этаже многоквартирного жилого дома по адресу: г. Ульяновск, ул. Орджоникидзе, 36/54, заключенного должником и Маркеловой Е.В. Судом установлено, что основой договор купли-продажи между сторонами отсутствует, договор о намерениях в установленном порядке не зарегистрирован и на момент его заключения многоквартирный жилой дом по указанному выше адресу введен в эксплуатацию как 3-этажное, 12-квартирное здание. При этом согласно проектной документации помещения, расположенные над квартирами 3-го этажа, обозначены как чердак. С учетом указанных обстоятельств, суды, руководствуясь статьями 71, 100, 201.1, 201.6 Федерального закона от 26.10.2002 № 127-ФЗ «О несостоятельности (банкротстве)», статьей 222 Гражданского кодекса Российской Федерации, статьей 2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включили в реестр денежное требование, так как факт оплаты должнику денежной суммы подтвержден, но спорное помещение является самовольной постройкой и не может быть квалифицировано в качестве объекта долевого строительства, а отношения сторон – как вытекающие из договора о долевом участии в строительстве. Ссылки на намерения должника легализовать самовольно построенный объект, а также на выводы акта экспертного исследования были учтены судами и мотивированно отклонены как не отменяющие факта несоблюдения установленного законом порядка строительства. Несогласие с оценкой обстоятельств спора, осуществленной судами в пределах компетенции, не создает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Маркеловой Екатерине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