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правительство и департамент обратились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правительством и департаментом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Правительства Москвы и Департамента городского имущества города Москвы удовлетворить. Срок подачи кассационной жалобы на решение Арбитражного суда города Москвы от 31.08.2021, постановление Девятого арбитражного апелляционного суда от 10.12.2021 и постановление Арбитражного суда Московского округа от 23.03.2022 по делу № А40-16233/2021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