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27.10.2021, оставленным без изменения постановлением Двадцатого арбитражного апелляционного суда от 17.01.2022, в удовлетворении требований отказано. Постановлением Арбитражного суда Центрального округа от 28.03.2022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В удовлетворении требования отказано в связи с пропуском установленного частью 2 статьи 208 Арбитражного процессуального кодекса Российской Федерации срока обращения в суд и отсутствием оснований для его восстановления. При этом суды исходили из того, что постановление административного органа было получено обществом 19.05.2021, в то время как с заявлением об 3 оспаривании указанного постановления общество обратилось только 02.09.2021. Приводимые обществом причины несвоевременного обращения в суд с настоящим заявлением (болезнь и нахождение в отпуске главного бухгалтера) были рассмотрены судами и признаны неуважительными. Доводы кассационной жалобы по существу спора не могут служить основанием для отмены судебных актов при установленных судами обстоятельствах пропуска срока на обращение в арбитражный суд с заявлением об оспаривание постановления по делу об административном правонарушении, что само по себе является основанием для отказа в удовлетворении заявленных требований.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