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31.05.2021 в иске отказано. Постановлением Двадцать первого арбитражного апелляционного суда от 02.11.2021 решение суда первой инстанции в части отказа в иске о взыскании 747 332,47 рублей задолженности и 14 635,11 рублей неустойки 2 отменено, с ответчика в пользу истца взыскано 747 332,47 рублей задолженности и 14 635,11 рублей неустойки за период с 23.10.2019 по 11.02.2020, в остальной части решение суда первой инстанции оставлено в силе. Предприятие просит отменить обжалуемые судебные акты, считая их принятыми с существенным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Руководствуясь положениями статей 309, 330, 401, 708, 754, 768 Гражданского кодекса Российской Федерации, статьи 34 Федеральным законом от 05.04.2013 № 44-ФЗ «О контрактной системе в сфере закупок товаров, работ, услуг для обеспечения государственных и муниципальных нужд», суд апелляционной инстанции отменил решение суда первой инстанции в части отказа в иске о взыскании 747 332,47 рублей задолженности и 14 635,11 рублей неустойки, в указанной части иск удовлетворил, исходя из установленных обстоятельств, свидетельствующих о том, что контрактом не предусмотрена ответственность подрядчика за нарушение промежуточных сроков отдельных 3 видов работ, в связи с чем признал незаконным удержание заказчиком данной неустойки из стоимости работ, подлежащих оплате. Доводы жалобы направлены на переоценку доказательств и установление иных фактических обстоятельств дела, и не могут служить основанием для передачи жалобы на рассмотрение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