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Московской области от 14.09.2021, оставленным без изменения постановлением Десятого арбитражного апелляционного суда от 29.10.2021, администрация привлечена к 2 административной ответственности, предусмотренной частью 6 статьи 9.5 Кодекса Российской Федерации об административных правонарушениях, и ей назначено наказание в виде штрафа в размере 50 000 рублей. Постановлением Арбитражного суда Московского округа от 14.03.2022 указанные судебные акты оставлены без изменения. Администрация обратилась в Верховный Суд Российской Федерации с кассационной жалобой на принятые по делу судебные акты,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послужил факт неисполнения администрацией в установленный срок (до 30.06.2021) предписания от 30.04.2021 № 08-30-027300-05-01 об устранении нарушений при строительстве, реконструкции объекта капитального строительства. Частью 6 статьи 9.5 Кодекса Российской Федерации об административных правонарушениях предусмотрена ответственность за невыполнение в установленный срок законного предписания уполномоченных на осуществление государственного строительного надзора федерального 3 органа исполнительной власти, организации, органов исполнительной власти субъектов Российской Федерации. Оценив представленные доказательства, руководствуясь положениями статей 1, 52, 54 Градостроительного кодекса Российской Федерации, суды пришли к выводу о наличии в действиях администрации состава административного правонарушения, ответственность за которое предусмотрена частью 6 статьи 9.5 Кодекса Российской Федерации об административных правонарушениях. Суды признали наличие вины администрации в совершении вмененного правонарушения. Процедура и срок давности привлечения к ответственности соблюдены, штраф назначен в минимальном размере санкции нормы,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Приведенные в жалобе доводы относительно выдачи предписания ненадлежащему лицу были предметом рассмотрения судов и получили надлежащую правовую оценку применительно к установленным обстоятельствам, связанным с необходимостью обеспечения должного строительного контроля за лицами, осуществляющими фактическое строительство, и обеспечения устранения выявленных нарушений.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