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26.10.2021, оставленным без изменения постановлением Восьмого арбитражного апелляционного суда от 12.01.2022, оспариваемое постановление управления изменено, обществу определена мера ответственности в виде административного штрафа в размере 36 417 832 рублей. Постановлением Арбитражного суда Западно-Сибирского округа от 18.03.2022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26.07.2006 № 135-ФЗ «О защите конкуренции», суды пришли к выводу о доказанности антимонопольным органом факта заключения хозяйствующими субъектами, в том числе обществом, недопустимого картельного соглашения, направленного на поддержание цен на торгах, приняв 3 во внимание вступившее в законную силу решение Арбитражного суда Ханты- Мансийского автономного округа – Югры от 22.06.2020 по делу № А75-5548/2020, которым решение антимонопольного органа вынесенное по итогам проверки признано правомерным, а также установили в действиях общества наличие состава правонарушения, ответственность за совершение которого предусмотрена частью 2 статьи 14.32 КоАП РФ. При этом размер назначенного административным органом штрафа снижен исходя из установленных смягчающих ответственность обстоятельств.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Доводы общества о необходимости освобождения его от административной ответственности со ссылкой на пункт 1 примечания к статье 14.32 КоАП РФ были предметом исследования судов и мотивированно отклонены в связи с недоказанностью заявителем того, что 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правонарушении, и того, что представленные сведения и документы являются достаточными для установления события административного правонарушения (картельного сговора между тремя участниками). Поскольку основанием для освобождения лица от административной ответственности по части 2 статьи 14.32 КоАП РФ является совокупность обстоятельств, перечисленная в пункте 1 примечания к статье 14.31 КоАП РФ, в рассматриваемом случае оснований для освобождения заявителя от административной ответственности по части 2 статьи 14.32 КоАП РФ не установлено. Ссылки заявителя на смягчающие вину обстоятельства также были отклонены судами, поскольку общество не сообщило добровольно в антимонопольный орган обо всех эпизодах и участниках антиконкурентного сговора и не оказало содействие антимонопольному органу в установлении 4 обстоятельств, подлежащих установлению по делу об административном правонарушении. Общество последовательно, в том числе в судебном порядке, оспаривало наличие картельного соглашения между тремя участниками сговора, утверждая, что такое соглашение заключено только между ним и ООО «Ресайклинговые Технологии». Доводы жалобы сводятся к несогласию с установленными судами фактическими обстоятельствами дела и оценкой доказательств, что в силу статьи 2916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