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Богомолов Владимир Валерьевич обратился в Арбитражный суд Челябинской области с иском о взыскании с общества с ограниченной ответственностью «Наш Дом» 165 966 рублей 14 копеек задолженности по договору оказания юридических услуг от 06.07.2020 № 3/07. К участию в деле в качестве третьего лица, не заявляющего самостоятельных требований относительно предмета спора, привлечено открытое акционерное общество «Межрегиональная распределительная сетевая компания Урала». Решением Арбитражного суда Челябинской области от 16.08.2021 иск удовлетворен. Постановлением Восемнадцатого арбитражного апелляционного суда от 12.10.2021 решение суда первой инстанции изменено, иск удовлетворен в части взыскания 20 340 рублей 11 копеек; в удовлетворении иска в остальной части отказано. 2 Арбитражный суд Уральского округа постановлением от 11.02.2022 постановление суда апелляционной инстанции оставил без изменения. Индивидуальный предприниматель Богомолов Владимир Валерьевич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что предусмотренное условиями договора дополнительное вознаграждение фактически является премированием представителя за положительный исход дела, учитывая баланс интересов сторон и возражения ответчика относительно соразмерности дополнительного вознаграждения, руководствуясь положениями статей 12, 421, 431, 779, 781, 783 Гражданского кодекса Российской Федерации, правовой позицией Конституционного Суда Российской Федерации, приведенной в постановлении от 23.01.2007 № 1-П, правовой позицией Президиума Высшего Арбитражного Суда Российской Федерации, изложенной в информационном письме от 29.09.1999 № 48 «О некоторых вопросах судебной практики, возникающих при рассмотрении споров, связанных с договорами на оказание правовых услуг», суд апелляционной инстанции пришел к выводу о наличии оснований для частичного удовлетворения иска.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3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Богомолову Владимиру Валерьевичу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