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«РНТ Логистика» обратилось в Арбитражный суд города Москвы с иском о взыскании с общества с ограниченной ответственностью «НТК-Прогресс» 1 985 280 рублей неустойки. Решением Арбитражного суда города Москвы от 31.08.2021 иск удовлетворен. Постановлением Девятого арбитражного апелляционного суда от 19.11.2021 решение суда первой инстанции оставлено без изменения. Арбитражный суд Московского округа постановлением от 25.02.2022 указанные судебные акты оставил без изменения. Общество с ограниченной ответственностью «НТК-Прогресс»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отказ ответчика – клиента от одного вагона и отсутствие отказа клиента от остальных вагонов, нарушение ответчиком условий договора о нормативном сроке использования вагонов, рассчитав срок простоя и отклонив довод ответчика об истечении срока исковой давности, учитывая отсутствие оснований для освобождения ответчика от гражданско-правовой ответственности в виде взыскания предусмотренного соглашением сторон штрафа, руководствуясь статьями 195, 196, 197, 200, 309, 310, 330, 333, 785 Гражданского кодекса Российской Федерации,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«НТК-Прогресс»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