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02.12.2021 требования Инспекции ФНС России № 27 по городу Москве признаны обоснованными, в отношении Риммер Ирины Геннадьевны введена процедура реструктуризации долгов гражданина; во вторую очередь реестра требований кредиторов должника включено требование инспекции в размере 143 029 рублей 85 копеек задолженности; в третью очередь реестра требований кредиторов должника включено требование инспекции в размере 3 265 371 рубля 31 копейки основного долга, 411 158 рублей 22 копеек пени с учетом пункта 3 статьи 137 Федерального закона от 26.10.2002 № 127-ФЗ «О несостоятельности (банкротстве)»; финансовым управляющим утвержден Бурзилов А.В. Определением Девятого арбитражного апелляционного суда от 18.01.2022 апелляционная жалоба должника возвращена на основании пункта 3 части 1 статьи 264 Арбитражного процессуального кодекса Российской Федерации в связи с пропуском срока и отказом в удовлетворении 2 ходатайства о восстановлении пропущенного срока на апелляционное обжалование. Арбитражный суд Московского округа постановлением от 11.03.2022 определение суда апелляционной инстанции оставил без изменения. Риммер Ирина Геннадьевна обратилась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Судом апелляционной инстанции установлено, что апелляционная жалоба на определение суда первой инстанции подана заявителем с пропуском срока на обжалование судебного акта, установленного Арбитражным процессуальным кодексом Российской Федерации. Отказывая в удовлетворении ходатайства о восстановлении пропущенного срока подачи апелляционной жалобы, суд апелляционной инстанции руководствовался положениями статей 117, 123, 259, 264 Арбитражного процессуального кодекса Российской Федерации, оценил приведенные причины пропуска срока и пришел к выводу о том, что они не являются уважительными, поскольку заявитель был надлежащим образом извещен о принятом судебном акте. Признав причины пропуска срока неуважительными, установив отсутствие оснований для восстановления срока, суд апелляционной инстанции возвратил апелляционную жалобу. Проверив законность вынесенного определения суда апелляционной инстанции,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 согласившись с выводом суда апелляционной инстанции об отсутствии 3 оснований для восстановления пропущенного срока в связи с непредставлением доказательств того, что заявитель, действуя разумно и добросовестно, столкнулся с обстоятельствами, препятствовавшими своевременному направлению апелляционной жалобы, и наличием условий, ограничивающих возможность совершения соответствующих юридических действий.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Риммер Ирине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