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«Крепость»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«Крепость» удовлетворить. Срок подачи кассационной жалобы на решение Арбитражного суда Красноярского края от 23.06.2021, постановление Третьего арбитражного апелляционного суда от 22.10.2021 и постановление Арбитражного суда Восточно-Сибирского округа от 01.02.2022 по делу № А33-5839/2021 восстановить.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