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общеобразовательное учреждение города Москвы «Школа № 1466 имени Надежды Рушевой»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ее подачи. 2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 находит его подлежащим удовлетворению.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общеобразовательного учреждения города Москвы «Школа № 1466 имени Надежды Рушевой» удовлетворить. Срок подачи кассационной жалобы на решение Арбитражного суда города Москвы от 15.07.2021, постановление Девятого арбитражного апелляционного суда от 13.10.2021 и постановление Арбитражного суда Московского округа от 16.02.2022 по делу № А40-9877/2021 восстановить.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