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Биржевого Виктора Александровича с учетом выделения в отдельное производство споров Арбитражным судом Пермского края рассмотрено заявление финансового управляющего имуществом должника Матвеенковой Ирины Александровны о признании недействительным договора купли-продажи транспортного средства – автомобиля Mazda СХ-5 от 12.02.2018, заключенного между должником и Шестаковой Ириной Александровной, и применении последствий недействительности сделки в виде взыскания с Шестаковой И.А. в пользу должника 346 000 рублей. К участию в рассмотрении обособленного спора в качестве третьих лиц, не заявляющих самостоятельных требований относительно предмета спора, привлечены Павлович С.В., Утемов Илья Маркович. Определением Арбитражного суда Пермского края от 25.06.2021 заявление удовлетворено, договор купли-продажи от 12.02.2018 спорного транспортного средства признан недействительным; применены последствия 2 недействительности сделки в виде взыскания с Шестаковой И.А. в пользу должника 341 000 рублей. Постановлением Семнадцатого арбитражного апелляционного суда от 28.10.2021 определение суда первой инстанции оставлено без изменения. Арбитражный суд Уральского округа постановлением от 03.02.2022 указанные судебные акты оставил без изменения. Шестакова Ирина Александровна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и пришли к выводу о доказанности наличия совокупности обстоятельств, позволяющей признать сделку недействительной на основании пункта 2 статьи 61.2 Федерального закона от 26.10.2002 № 127-ФЗ «О несостоятельности (банкротстве)», учитывая заключение безвозмездного договора между заинтересованными лицами (Шестакова И.А. является сестрой должника), в период подозрительности, при наличии у должника неисполненных обязательств перед кредиторами, с целью вывода активов, что влечет причинение вреда имущественным правам кредиторов в результате безвозмездного отчуждения ликвидного имущества. Руководствуясь положениями статьи 167 Гражданского кодекса Российской Федерации, статьи 61.6 Федерального закона «О несостоятельности (банкротстве)», оценив заключение судебной экспертизы и признав его надлежащим доказательством рыночной стоимости транспортного средства на момент его отчуждения должником, учитывая, что сделка между должником и ответчиком являлась безвозмездной, автомобиль реализован третьему лицу, суды применили последствия недействительности сделки, взыскав с 3 Шестаковой И.А. в пользу должника рыночную стоимость транспортного средства.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Шестаковой Ирине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