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Рязанской области от 22.09.2021, оставленным без изменения постановлением Двадцатого арбитражного 2 апелляционного суда от 17.11.2021, оспариваемое постановление изменено в части назначенного наказания, административный штраф снижен до 12 671 491,23 рублей. Постановлением Арбитражного суда Центрального округа от 05.04.2022 указанные судебные акты оставлены без изменения. Общество обратилось в Верховный Суд Российской Федерации с кассационной жалобой, считая принятые по делу судебные акты незаконными и необоснованными.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Федерального закона от 22.05.2003 № 54-ФЗ «О применении контрольно- кассовой техники при осуществлении наличных денежных расчетов и (или) расчетов с использованием платежных карт», суды пришли к выводу о наличии в действиях общества состава правонарушения, ответственность за совершение которого установлена частью 2 статьи 14.5 Кодекса Российской Федерации об административных правонарушениях, признав факт неприменения в установленных законодательством Российской Федерации случаях контрольно- кассовой техники. Судом установлено, что процедура и срок давности привлечения к административной ответственности соблюдены, оснований для применения положений статьи 2.9 и статьи 4.1.1 Кодекса Российской Федерации об административных правонарушениях судами не выявлено. Поскольку размер административного штрафа определен судом первой инстанции ниже низшего размера санкции нормы, применение положений статьи 4.1.2 Кодекса Российской Федерации об административных правонарушениях, введенной в действие Федеральным законом от 26.03.2022 № 70-ФЗ «О внесении изменений в Кодекс Российской Федерации об 3 административных правонарушениях», не улучшает положение общества в рассматриваемом случае. Приведенные обществом в жалобе доводы, идентичные изложенным в обоснование позиции общества при рассмотрении дела, подробно исследованы судами трех инстанций при рассмотрении дела и им дана соответствующая правовая оценка.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