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20.09.2021 заявление Скрицкой Татьяны Ивановны признано обоснованным, в отношении Скрицкого Анатолия Александровича введена процедура реструктуризации долгов, финансовым управляющим имуществом должника утверждена Салюкова Ольга Владимировна, требование Скрицкой Т.И. в размере 39 908 881 рубля 25 копеек включено в третью очередь реестра требований кредиторов должника. Постановлением Одиннадцатого арбитражного апелляционного суда от 22.11.2021 определение суда первой инстанции оставлено без изменения. Арбитражный суд Поволжского округа постановлением от 11.03.2022 указанные судебные акты оставил без изменения. Скрицкий Анатолий Александрович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Учитывая, что вступившим в законную силу решением Арбитражного суда Самарской области от 08.12.2021 (постановление Одиннадцатого арбитражного апелляционного суда от 21.03.2022 и резолютивная часть постановления Арбитражного суда Поволжского округа от 26.05.2022) обжалуемое определение Арбитражного суда Самарской области от 20.09.2021 отменено по новым обстоятельствам, поданная должником кассационная жалоба беспредметна.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Скрицкому Анатолию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