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«Альма» (далее - компания) обратилось в Арбитражный суд Кемеровской области с иском к государственному бюджетному профессиональному образовательному учреждению Томь-Усинский энерготранспортный техникум (далее - учреждение) о взыскании 4 659 181 руб. долга, 48 144 руб. 87 коп. неустойки по контракту от 15.10.2018 № 0139200000118006926-0386665-01 (далее – контракт). Учреждение предъявило встречный иск о расторжении контракта, взыскании 279 550 руб. 86 коп. штрафа, 158 256 руб. 84 коп. неустойки, об обязании устранить недостатки выполненных работ.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«Кем.Строй-Торг» (далее – общество), общество с ограниченной ответственностью «Инвест». Решением Арбитражного суда Кемеровской области от 31.05.2021, оставленным без изменения постановлением Седьмого арбитражного 2 апелляционного суда от 21.09.2021 и постановлением Арбитражного суда Западно-Сибирского округа от 27.01.2022, в удовлетворении первоначальных исковых требований отказано; встречные исковые требования в части расторжения контракта, взыскания штрафа в размере 93 183 руб. 62 коп. за нарушение пунктов 4.6, 4.6.1 контракта оставлены без рассмотрения; в остальной части встречный иск удовлетворен частично, с компании в пользу учреждения взыскана неустойка в размере 158 256 руб. 84 коп., штраф в размере 186 367 руб. 24 коп., в остальной части встречных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Кемеровской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заключенного учреждением (заказчик) и компанией (подрядчик) контракта, установив факт выполнения подрядчиком работ с существенными и неустранимыми недостатками, отсутствие потребительской ценности результата работ для заказчика, суды первой и апелляционной инстанций пришли к выводу, что у заказчика не возникло обязательство по оплате спорных работ. Исходя из доказанности факта выполнения подрядчиком работ с просрочкой и ненадлежащего качества, суды указали на наличие оснований для применения к нему установленной контрактом ответственности в виде пеней и штрафа. При таких обстоятельствах, руководствуясь статьями 309, 310, 330, 721, 722, 740, 746, 755 Гражданского кодекса Российской Федерации, суды отказали в удовлетворении первоначальных требований и частично удовлетворили встречный иск. Суд округа поддержал выводы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3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«Кем.Строй-торг»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