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15.07.2021, оставленным без изменения постановлением Девятого арбитражного апелляционного суда от 22.09.2021 и постановлением Арбитражного суда Московского округа от 25.01.2022,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предпринимателя, получившего право требования взыскания денежных средств на основании договора уступки с третьим лицом,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11, 12, 4258, 708, 753 Гражданского кодекса Российской Федерации, исходили из недоказанности факта заключения ответчиком и третьим лицом договора на выполнение работ и его исполнения.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Кирютина Алексея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