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09.06.2021, оставленным без изменения постановлением Восьмого арбитражного апелляционного суда от 29.09.2021 и постановлением Арбитражного суда Западно-Сибирского округа от 27.01.2022, иск удовлетворен. В кассационной жалобе, поданной в Верховный Суд Российской Федерации, товарищество, ссылаясь на незаконность указанных судебных актов, просит их отменить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истец (региональный оператор) оказал товариществу в спорный период на условиях типового договора услуги по обращению с твердыми коммунальными отходами, последнее оказанные услуги не оплатило, доказательств того, что осуществляло сбор, транспортировку, обработку, утилизацию, обезвреживание, захоронение твердых коммунальных отходов самостоятельно или с привлечением третьих лиц, не представило, проверив и признав верным расчет истца, руководствуясь статьями 309. 310, 779, 781 Гражданского кодекса Российской Федерации, положениями Федерального закона от 24.06.1998 № 89-ФЗ «Об отходах производства и потребления»,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 наличии оснований для удовлетворения иска, с чем впоследствии согласился суд округа.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садоводческого некоммерческого товарищества «Яблонька»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