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«Имидж Групп» обратилось в Арбитражный суд города Москвы с иском к ООО «Спектр Продакшен», ООО «АСГ-Сантехника», ООО «Спектр Видео» об обязании возвратить принадлежащее истцу на праве собственности движимое имущество, указанное в уточненных требованиях; в случае невозможности возврата имущества - взыскать 10 077 612 рублей. Решением Арбитражного суда города Москвы от 28.06.2021, оставленным без изменения постановлением Девятого арбитражного апелляционного суда от 11.10.2021 и постановлением Арбитражного суда Московского округа от 02.02.2022,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дана надлежащая оценка представленным в материалы дела доказательствам.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с 2017 года по май 2020 года истец арендовал складское помещение, принадлежащее ООО «АСГ-Сантехника», для хранения оборудования. В тот же период времени указанное складское помещение арендовало также ООО «Спектр Продакшен», которое хранило на этой территории собственное оборудование. В мае 2020 года срок договор аренды между истцом и ООО «АСГ-Сантехника» истек. В ноябре 2020 года истцом в адрес ООО «АСГ-Сантехника» направлено письмо с предложением о согласовании даты и времени прибытия представителей ООО «Имидж Групп» на территорию складского помещения для осмотра и вывоза оборудования. Согласно ответу ООО «АСГ-Сантехника» от 23.11.2020 № 23/11 по окончании срока аренды, то есть после 31.05.2020, истец освободил занимаемое помещение и вывез собственное имущество. Вместе с тем, как указывает ООО «Имидж Групп», оно не вывозило имущество с территории складского помещения, не освобождало и не передавало его ООО «АСГ-Сантехника». Кроме того, согласно договору хранения от 01.06.2020 № 1/01062020, заключенному между ООО «Спектр Видео» (хранитель) и ООО «Спектр Продакшен», последнее передало хранителю на хранение собственное оборудование, которое находится в складском помещении. Ссылаясь на то, что между ООО «Имидж Групп», ООО «Спектр Продакшен», ООО «Спектр Видео» и ООО «АСГ-Сантехника» отсутствуют какие- либо обязательства в отношении спорного имущества, а оборудование незаконно удерживается ответчиками,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209, 301 Гражданского кодекса Российской Федерации, разъяснениями, изложенными в пункте 34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3 защитой права собственности и других вещных прав», суды отказали в удовлетворении требований, исходя из недоказанности нахождения спорного имущества на арендованном истцом складе в незаконном владении ответчиков.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«Имидж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