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22.07.2021, оставленным без изменения постановлением Десятого арбитражного апелляционного суда от 06.10.2021 и постановлением Арбитражного суда Московского округа от 27.01.2022, исковые требования удовлетворены. В кассационной жалобе, поданной в Верховный Суд Российской Федерации, предприятие, ссылаясь на незаконность указанных судебных актов, просит их отменить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установив факт ненадлежащего исполнения предприятием обязательств по оплате поставленного обществом товара, суды первой и апелляционной инстанций пришли к выводу о наличии оснований для одновременного взыскания неустойки в качестве меры ответственности за нарушение условий договора и процентов за пользование коммерческим кредитом как платы за пользование денежными средствами. Проверив и признав верным представленный обществом расчет неустойки и процентов, руководствуясь статьями 309, 310, 329, 330, 421, 422, 486, 506, 516, 823 Гражданского кодекса Российской Федерации, суды удовлетворили исковые требования,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«Производственно-энергетическое объединение «Байконурэнерго» города Байконур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