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29.06.2021, оставленным без изменения постановлением Восемнадцатого арбитражного апелляционного суда от 21.09.2021 и постановлением Арбитражного суда Уральского округа от 27.01.2022, в удовлетворении иска отказано. В кассационной жалобе, поданной в Верховный Суд Российской Федерации, общество, ссылаясь на нарушение судами норм права, несоответствие их выводов фактическим обстоятельствам дела, просит отменить указанные судебные акты и направить дело на новое рассмотрение в Арбитражный суд Оренбургской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Отказывая в удовлетворении иска общества, получившего право требования взыскания денежных средств на основании договора цессии с компанией, суды первой и апелляционной инстанций,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обстоятельства, установленные вступившим в законную силу судебным актом по делу № А47-8937/2018, руководствуясь статьями 424, 450, 452, 702, 708, 709, 743 Гражданского кодекса Российской Федерации, пришли к выводу об отсутствии у учреждения обязанности по оплате спорных работ, исходя из следующего: в заключенном учреждением (заказчик) и компанией (подрядчик) договоре указано на необходимость выполнения последней только тех работ, которые согласованы сторонами в предусмотренном порядке; цена договора является твердой; доказательств того, что заказчик и подрядчик в установленном договором или законом порядке согласовали выполнение спорных дополнительных работ на заявленную сумму, а также того, что невыполнение этих работ без надлежащего согласования могло привести к последствия, указанным в пункте 4 статьи 753 Гражданского кодекса Российской Федерации, не представлено. Суд округа поддержал выводы судов первой и апелляционной инстанций. Приведенные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«Энерго Защита»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