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Ярославской области от 30.09.2021, оставленным без изменения постановлением Второго арбитражного апелляционного суда от 17.11.2021 и постановлением Арбитражного суда Волго-Вятского округа от 01.03.2022, Положение утверждено в редакции финансового управляющего. В кассационной жалобе Шихова Н.Е. просит об отмене судебных актов, ссылаясь на ненадлежащие действия финансового управляющего по выявлению и оценке имущества должника, игнорирование наличия иного имущества, подлежащего включению в конкурсную массу.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основаны на статьях 110, 111, 112, 139, 213.26 Федерального закона от 26.10.2002 № 127-ФЗ «О несостоятельности (банкротстве)» и их толковании пунктом 40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граждан». Доводы заявителя были предметом рассмотрения судов и мотивированно отклонены.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Шиховой Наталье Евгеньевне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