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21.07.2021, оставленным без изменения постановлением Второго арбитражного апелляционного суда от 11.10.2021, в удовлетворении заявления отказано. Постановлением Арбитражного суда Волго-Вятского округа от 16.02.2022 указанные судебные акты оставлены без изменения. Курочкина В.А. просит обжалуемые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3, 26 Федерального закона от 26.03.2003 № 35-ФЗ «Об электроэнергетике», суды отказали в удовлетворении требований, признав правомерным отказ антимонопольного органа в возбуждении дела об административном правонарушении по части 1 статьи 9.21 Кодекса Российской Федерации об административных правонарушениях в связи с отсутствием в действиях общества «Коммунэнерго» состава административного правонарушения. Несогласие с указанными выводами судов не может быть признано основанием для пересмотра обжалуемых судебных актов в кассационном порядке.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3 экономической деятельности, а также защита охраняемых законом публичных интересов.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передача кассационной жалобы в Судебную коллегию Верховного Суда Российской Федерации не приведет к защите прав заявителя.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