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28.09.2021, оставленным без изменения постановлением Одиннадцатого арбитражного 2 апелляционного суда от 17.12.2021, в удовлетворении заявленные требований отказано. Постановлением Арбитражного суда Поволжского округа от 18.03.2022 указанные судебные акты оставлены без изменения. Общество просит обжалуемые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установлена частью 1 статьи 9.1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суды пришли к выводу о наличии в действиях общества состава правонарушения, ответственность за совершение которого предусмотрена частью 1 статьи 9.1 Кодекса Российской Федерации об административных правонарушениях, установив нарушение обществом 3 требований промышленной безопасности в период осуществления им деятельности по эксплуатации опасного производственного объекта. Суды признали наличие вины общества, указав на то, что им не были приняты все зависящие меры по соблюдению норм промышленной безопасности,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Процедура и срок давности привлечения к ответственности соблюдены, штраф назначен в пределах санкции нормы,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