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28.05.2021 заявленное требование удовлетворено. Постановлением Девятого арбитражного апелляционного суда от 24.09.2021 решение суда отменено, в удовлетворении заявленного требования отказано. Постановлением Арбитражного суда Московского округа от 27.01.2022 постановление суда апелляционной инстанции оставлено без изменения. Общество обратилось в Верховный Суд Российской Федерации с кассационной жалобой на судебные акты судов апелляционной инстанции и округа, ссылаясь на их незаконность и необоснованность.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факт направления обществом на телефонный номер физического лица СМС-сообщения, содержащего информацию рекламного характера при отсутствии предварительного согласия абонента на получение рекламы. Частью 1 статьи 14.3 КоАП РФ предусмотрена административная ответственность за нарушение рекламодателем, рекламопроизводителем или 3 рекламораспространителем законодательства о рекламе, за исключением случаев, предусмотренных частями 2-6 настоящей статьи, статьями 14.37, 14.38, 19.31 настоящего Кодекса. Исследовав и оценив представленные в материалы дела доказательства в их совокупности и взаимосвязи, руководствуясь положениями Федерального закона от 13.03.2006 № 38-ФЗ «О рекламе», разъяснениями, изложенными в постановлении Пленума Высшего Арбитражного Суда Российской Федерации от 08.10.2012 № 58 «О некоторых вопросах практики применения арбитражными судами Федерального закона «О рекламе», суд апелляционной инстанции, установив, что распространенная посредством СМС-сообщения информация является рекламой, общество является рекламораспространителем, а согласие гражданина как абонента на получение данной рекламы отсутствовало, сделал вывод о наличии в действиях общества состава административного правонарушения, ответственность за совершение которого предусмотрена частью 1 статьи 14.3 КоАП РФ, с чем согласился суд округа. Процедура и срок давности привлечения общества к ответственности соблюдены, административное наказание в виде штрафа назначено в пределах санкции нормы. Довод заявителя о том, что общество не подлежит административной ответственности, поскольку не является распространителем спорной рекламы, отклоняется, как противоречащий установленным судами фактическим обстоятельствам дела. Доводы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Ссылки заявителя на нарушение судом апелляционной инстанции норм процессуального права не нашли своего подтверждения.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