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10.08.2021, оставленным без изменения постановлением Первого арбитражного апелляционного суда от 26.10.2021, общество привлечено к административной ответственности по части 3 статьи 14.17 и части 2 статьи 14.16 КоАП РФ в виде 2 административного приостановления деятельности на срок 60 суток с момента фактического приостановления деятельности; изъятая алкогольная продукция направлена на уничтожение. Постановлением Арбитражного суда Волго-Вятского округа от 03.03.2022 указанные судебные акты оставлены без изменения. Общество просит обжалуемые судебные акты отменить, считая их принятыми с нарушением норм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составления протоколов и обращения в арбитражный суд с соответствующим заявлением послужил выявленный административным органом факт оборота алкогольной продукции без товарно-сопроводительных документов и без специального разрешения (лицензии). Частью 2 статьи 14.16 КоАП РФ предусмотрена ответственность за оборот этилового спирта (за исключением розничной продажи), алкогольной и спиртосодержащей продукции без сопроводительных документов, удостоверяющих легальность их производства и оборота, определенных федеральным законом. Частью 3 статьи 14.17 КоАП РФ установлена административная ответственность за производство или оборот этилового спирта, алкогольной и спиртосодержащей продукции без соответствующей лицензии. Оценив представленные доказательства, руководствуясь положениями Федерального закона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суды пришли к выводу о наличии в действиях общества составов правонарушений, ответственность за совершение которых предусмотрена частью 2 статьи 14.16 и частью 3 статьи 14.17 КоАП РФ. 3 Процедура и срок давности привлечения к административной ответственности соблюдены. Доводы кассационной жалобы были предметом исследования судов и получили исчерпывающую правовую оценку с учетом доказанности совершения обществом нарушения, а также соблюдения процедуры привлечения к административной ответственности, не согласиться с которой оснований не имеется. Ссылка заявителя на судебную практику по аналогичным делам не опровергает выводов судов с учетом конкретных обстоятельств, установленных по данному делу. Существенных нарушений судами норм материального права, а также требований процессуального законодательства, повлиявших на исход судебного разбирательства, по доводам жалобы не установлено. Заявление общества о фальсификации доказательств и ходатайство о вызове свидетелей не подлежат рассмотрению, как поданные без учета полномочий суда кассационной инстанции.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