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Хмелева Анастасия Алексеевна обратилась в Арбитражный суд Московской области с иском к обществу с ограниченной ответственностью «Анис и В» (далее – Общество) о признании недействительным решения общего собрания участников Общества, оформленного протоколом от 21.01.2021, в части утверждения оклада генеральному директору с 01.01.2021 в размере 200 000 рублей. Решением Арбитражного суда Московской области от 04.08.2021, оставленным без изменения постановлением Десятого арбитражного апелляционного суда от 14.10.2021 и постановлением Арбитражного суда Московского округа от 03.02.2022,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не рассмотрен вопрос о квалификации дополнительного соглашения к трудовому договору директора в качестве сделки.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сведениям Единого государственного реестра юридических лиц участниками Общества являются: Хмелева Анастасия Алексеевна – 15% долей в уставном капитале, Хмелева Наталья Владимировна – 15% долей в уставном капитале, Хмелев Владимир Владимирович – 65% доли в уставном капитале, Хмелева Светлана Сергеевна – 5% долей в уставном капитале. 27.01.2020 состоялось очередное общее собрание участников Общества, повестка которого включала, в том числе, утверждение оклада генерального директора – Хмелевой С.С. По результатам данного собрания участников Хмелевым В.В. и Хмелевой С.С. (70% голосов) принято решение об увеличении оклада генерального директора до 200 000 рублей в месяц, начиная с января 2021 года; Хмелева А.А. и Хмелева Н.В. на собрании отсутствовали. Ссылаясь на то, что данное решение в части увеличения оклада генеральному директору совершено с нарушением закона, Хмелева А.А. обратилась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положения пунктов 8.2.12, 8.4 Устава Общества, руководствуясь статьей 181.3 Гражданского кодекса Российской Федерации, статьями 8, 32, 36, 37, 43 Федерального закона от 08.02.1998 № 14-ФЗ «Об обществах с ограниченной ответственностью», суды удовлетворили заявленные требования, придя к выводу , что обжалуемое решение в части об одобрении крупной сделки было принято в нарушение положений Устава юридического лица, требующего присутствия всех участников хозяйствующего субъекта на первично созванном собрании с соответствующей повесткой дня, при этом отсутствуют надлежащие доказательства извещения истца о проведении оспариваемого собрания.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«Анис и 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