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17.05.2022 повторно направил (согласно штампу почтовой службы)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(17.03.2022 – согласно штампу почтовой службы) жалоба возвращена заявителю на основании пункта 1 части 1 статьи 2915 Арбитражного процессуального кодекса Российской Федерации, поскольку в приобщенном к жалобе платежном поручении № 2 от 17.03.2022 отсутствует отметка банка о его исполнении.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3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Парфиловой Светланы Степановны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