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Сахалинской области от 22.06.2021, оставленным без изменения постановлением Пятого арбитражного апелляционного суда от 27.12.2021 и постановлением Арбитражного суда Дальневосточного округа от 28.02.2022, в удовлетворении заявления отказано вследствие пропуска срока исковой давности. В кассационной жалобе общество просит об отмене судебных актов, ссылаясь на реальный характер займа, признание его должником и неправильное исчисление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признали договор займа ненадлежащим доказательством, а требование о возврате перечисленных за должника платежей – погашенным сроком исковой давности в соответствии с установленными обстоятельствами и статьями 195, 199, 200, 203, 206, 1102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«Консоль»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