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Челябинской области от 14.09.2021 требование Хайруллина М.С. в размере 1 615 854 рублей 70 копеек признано обоснованным и включено в третью очередь реестра, в удовлетворении заявления в остальной части отказано. Восемнадцатый арбитражный апелляционный суд постановлением от 01.12.2021 изменил определение от 14.09.2021: принял отказ от заявления в части включения требования в размере 1 615 854 рублей 70 копеек в реестр с прекращением по нему производства, в удовлетворении заявления в остальной части отказал. Арбитражный суд Уральского округа постановлением от 22.02.2021 постановление апелляционного суда от 01.12.2021 оставил без изменения. В кассационной жалобе Хайруллин М.С. просит об отмене судебных актов, ссылаясь на то, что является законным владельцем спорного недвижимого имущества.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переход права собственности на спорное недвижимое имущество не зарегистрирован как требует статья 551 Гражданского кодекса Российской Федерации, поэтому имущество включено в конкурсную массу должника в силу пункта 1 статьи 213.26 Федерального закона от 26.10.2002 № 127-ФЗ «О несостоятельности (банкротстве)». Иная оценка имущественных прав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Хайруллину М.С.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