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25.06.2021, оставленным без изменения постановлением Девятого арбитражного апелляционного суда от 01.11.2021 и постановлением Арбитражного суда Московского округа от 31.01.2022, исковые требования удовлетворены. В кассационной жалобе общество «ВЛТ групп» просит об отмене судебных актов, ссылаясь на неверный период расчета задолженности, игнорирование отсутствия доказательств передачи вагонов в аренду и их возврата, недоказанность вины в причинении убытков, противоречие судебных актов ранее принятым в связи со спорными правоотношениями судебным актам.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факт пользования ответчиком спорными вагонами, предоставленными истцом на основании договора от 22.02.2019 № ВТ-1455, и внесение арендной платы не в полном объеме, поэтому взыскали образовавшуюся задолженность в соответствии со статьями 611, 614 Гражданского кодекса Российской Федерации. В силу пункта 3 статьи 401 Гражданского кодекса Российской Федерации вина не является основанием ответственности в предпринимательских отношениях. Противоречия судебных актов ранее принятым в других делах судебным актам по спорам, связанным со спорными правоотношениями, суды не установили.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«ВЛТ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