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Рязанской области от 25.08.2021, оставленным без изменения постановлением Двадцатого арбитражного апелляционного суда от 24.11.2021 и постановлением Арбитражного суда Центрального округа от 18.03.2022, в удовлетворении заявления отказано вследствие пропуска срока исковой давности, о применении которой заявил конкурсный кредитор. В кассационной жалобе общество просит об отмене судебных актов, ссылаясь на неправильное определение начала течения срока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В вопросе исчисления срока исковой давности суды руководствовались решением Советского районного суда г. Рязани от 23.12.2016, статьями 195, 196, 199, 200 Гражданского кодекса Российской Федерации. Иная оценка подателем жалобы обстоятельств, влияющих на исчисление срока исковой давности, не опровергает законности судебных актов и не создает обозначенных оснований для их кассационного пересмотра.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«ЭкоЭнергоМаш»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