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Амурской области от 16.09.2021, оставленным без изменения постановлением Шестого арбитражного апелляционного суда от 26.11.2021 и постановлением Арбитражного суда Дальневосточного округа от 27.01.2022, предприятию отказано в восстановлении пропущенного срока на обращение в суд с заявлением о включении требования в реестр, требование признано обоснованным и подлежащим удовлетворению за счет имущества, оставшегося после удовлетворения требований кредиторов, включенных в реестр. В кассационной жалобе предприятие просит об отмене судебных актов в части отказа в восстановлении срока, ссылаясь на неправомерное определение момента возникновения права на обращение с требованием о включении в реестр.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денежное требование взамен передачи имущества подлежало предъявлению и удовлетворению по правилам статьи 100 Федерального закона от 26.10.2002 № 127-ФЗ «О несостоятельности (банкротстве)» наравне с требованиями иных кредиторов в общем порядке. Довод предприятия о необходимости прибегания к судебному изменению способа исполнения решения признан не влекущим восстановления срока для включения требования в реестр как не соответствующий закону. Иное толкование норм права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«Питание-торговля»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